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96" w:rsidRDefault="00E36096" w:rsidP="00E3609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E36096" w:rsidRDefault="00E36096" w:rsidP="00E3609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E36096" w:rsidRDefault="00E36096" w:rsidP="00E36096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monocratica del 30.11.21, fissa le seguenti fasce orarie (i processi sono individuati attraverso il n. di RGNR):</w:t>
      </w:r>
    </w:p>
    <w:p w:rsidR="00E36096" w:rsidRPr="00BE0909" w:rsidRDefault="00E36096" w:rsidP="00E36096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9,45</w:t>
      </w:r>
    </w:p>
    <w:p w:rsidR="00E36096" w:rsidRDefault="00E36096" w:rsidP="00E3609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Rinvio immediato dei seguenti processi, per i quali permane difetto di notifica o non trattabili per analoghe ragioni: 5140/16, 3449/19, 2260/18, 5359/17, 44/20, 1563/18, 1840/15, 814/17, appello.</w:t>
      </w:r>
    </w:p>
    <w:p w:rsidR="00E36096" w:rsidRDefault="00E36096" w:rsidP="00E3609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Trattazione dei seguenti processi: 6084/14, 4439/19, 4309/15, 3644/17, 5818/19, 164/15, 5328/17, 9142/14.</w:t>
      </w:r>
    </w:p>
    <w:p w:rsidR="00E36096" w:rsidRDefault="00E36096" w:rsidP="00E36096">
      <w:pPr>
        <w:jc w:val="center"/>
        <w:rPr>
          <w:rFonts w:ascii="Garamond" w:hAnsi="Garamond"/>
          <w:b/>
          <w:sz w:val="26"/>
          <w:szCs w:val="26"/>
        </w:rPr>
      </w:pPr>
      <w:r w:rsidRPr="00AB190D">
        <w:rPr>
          <w:rFonts w:ascii="Garamond" w:hAnsi="Garamond"/>
          <w:b/>
          <w:sz w:val="26"/>
          <w:szCs w:val="26"/>
        </w:rPr>
        <w:t>9,45/10,15</w:t>
      </w:r>
    </w:p>
    <w:p w:rsidR="00E36096" w:rsidRPr="00AB190D" w:rsidRDefault="00E36096" w:rsidP="00E36096">
      <w:pPr>
        <w:rPr>
          <w:rFonts w:ascii="Garamond" w:hAnsi="Garamond"/>
          <w:sz w:val="26"/>
          <w:szCs w:val="26"/>
        </w:rPr>
      </w:pPr>
      <w:r w:rsidRPr="00AB190D">
        <w:rPr>
          <w:rFonts w:ascii="Garamond" w:hAnsi="Garamond"/>
          <w:sz w:val="26"/>
          <w:szCs w:val="26"/>
        </w:rPr>
        <w:t xml:space="preserve">Trattazione dei seguenti processi: 4342/17, 6604/18, 4957/18, 3174/18, 5515/16, 8864/15, </w:t>
      </w:r>
    </w:p>
    <w:p w:rsidR="00E36096" w:rsidRDefault="00E36096" w:rsidP="00E36096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10,15 a seguire</w:t>
      </w:r>
    </w:p>
    <w:p w:rsidR="00E36096" w:rsidRDefault="00E36096" w:rsidP="00E3609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Trattazione dei seguenti processi: </w:t>
      </w:r>
      <w:r w:rsidRPr="00AB190D">
        <w:rPr>
          <w:rFonts w:ascii="Garamond" w:hAnsi="Garamond"/>
          <w:sz w:val="26"/>
          <w:szCs w:val="26"/>
        </w:rPr>
        <w:t>740/17</w:t>
      </w:r>
      <w:r>
        <w:rPr>
          <w:rFonts w:ascii="Garamond" w:hAnsi="Garamond"/>
          <w:sz w:val="26"/>
          <w:szCs w:val="26"/>
        </w:rPr>
        <w:t>, 3907/19, 6320/17, 4181/16, 4939/15.</w:t>
      </w:r>
    </w:p>
    <w:p w:rsidR="00E36096" w:rsidRDefault="00E36096" w:rsidP="00E3609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E36096" w:rsidRDefault="00E36096" w:rsidP="00E3609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esposta; i processi non indicati e comunque fissati saranno celebrati nell’ultima fascia.</w:t>
      </w:r>
    </w:p>
    <w:p w:rsidR="00E36096" w:rsidRDefault="00E36096" w:rsidP="00E3609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E36096" w:rsidRDefault="00E36096" w:rsidP="00E3609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E36096" w:rsidRDefault="00E36096" w:rsidP="00E3609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E36096" w:rsidRPr="00BA2523" w:rsidRDefault="00E36096" w:rsidP="00E36096">
      <w:pPr>
        <w:rPr>
          <w:rFonts w:ascii="Garamond" w:hAnsi="Garamond"/>
          <w:sz w:val="26"/>
          <w:szCs w:val="26"/>
        </w:rPr>
      </w:pPr>
    </w:p>
    <w:p w:rsidR="00E36096" w:rsidRDefault="00E36096" w:rsidP="00E36096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6096"/>
    <w:rsid w:val="001214EB"/>
    <w:rsid w:val="002E476C"/>
    <w:rsid w:val="003F1B60"/>
    <w:rsid w:val="0071699F"/>
    <w:rsid w:val="00C45029"/>
    <w:rsid w:val="00C645C6"/>
    <w:rsid w:val="00C76C19"/>
    <w:rsid w:val="00E3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0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2021-11-27T08:39:00Z</dcterms:created>
  <dcterms:modified xsi:type="dcterms:W3CDTF">2021-11-27T08:40:00Z</dcterms:modified>
</cp:coreProperties>
</file>