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E3" w:rsidRDefault="00502DE3" w:rsidP="00502DE3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6270" cy="6584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E3" w:rsidRDefault="00502DE3" w:rsidP="00502DE3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502DE3" w:rsidRDefault="00502DE3" w:rsidP="00502DE3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502DE3" w:rsidRDefault="00056364" w:rsidP="00502DE3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08</w:t>
      </w:r>
      <w:bookmarkStart w:id="0" w:name="_GoBack"/>
      <w:bookmarkEnd w:id="0"/>
      <w:r w:rsidR="00502DE3">
        <w:rPr>
          <w:b/>
          <w:sz w:val="26"/>
          <w:szCs w:val="26"/>
          <w:u w:val="single"/>
        </w:rPr>
        <w:t>.04.2021 ore 09.00 e ss.</w:t>
      </w:r>
    </w:p>
    <w:p w:rsidR="00502DE3" w:rsidRDefault="00502DE3" w:rsidP="00502DE3">
      <w:pPr>
        <w:spacing w:before="120" w:after="120"/>
        <w:rPr>
          <w:b/>
          <w:sz w:val="26"/>
          <w:szCs w:val="26"/>
          <w:u w:val="single"/>
        </w:rPr>
      </w:pPr>
    </w:p>
    <w:p w:rsidR="00502DE3" w:rsidRDefault="00502DE3" w:rsidP="00502DE3">
      <w:pPr>
        <w:spacing w:before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502DE3" w:rsidRDefault="00502DE3" w:rsidP="00502DE3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502DE3" w:rsidRDefault="00502DE3" w:rsidP="00502DE3">
      <w:pPr>
        <w:spacing w:line="48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 contestuale comunicazione del differimento fuori udienza dei procedimenti a trattazione non prioritaria in ottemperanza al decreto del Presidente del Tribunale di Nocera Inferiore n. 24/2021 e successive proroghe.</w:t>
      </w:r>
    </w:p>
    <w:p w:rsidR="00502DE3" w:rsidRDefault="00502DE3" w:rsidP="00502DE3">
      <w:pPr>
        <w:spacing w:line="520" w:lineRule="exact"/>
        <w:rPr>
          <w:sz w:val="28"/>
          <w:szCs w:val="28"/>
          <w:u w:val="single"/>
        </w:rPr>
      </w:pPr>
    </w:p>
    <w:p w:rsidR="00502DE3" w:rsidRDefault="00502DE3" w:rsidP="00502DE3">
      <w:pPr>
        <w:spacing w:line="5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Procedimenti da trattare:</w:t>
      </w:r>
    </w:p>
    <w:p w:rsidR="00502DE3" w:rsidRDefault="00502DE3" w:rsidP="00502DE3">
      <w:pPr>
        <w:spacing w:line="440" w:lineRule="exact"/>
        <w:rPr>
          <w:sz w:val="28"/>
          <w:szCs w:val="28"/>
          <w:u w:val="single"/>
        </w:rPr>
      </w:pPr>
    </w:p>
    <w:p w:rsidR="00502DE3" w:rsidRDefault="00502DE3" w:rsidP="00502DE3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09:15 – 10:30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(RGI n. 36-19) – RGNR n. 183-19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2146-17) – RGNR n. 3239-15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(RGI 3-19)</w:t>
      </w:r>
    </w:p>
    <w:p w:rsidR="00502DE3" w:rsidRDefault="00502DE3" w:rsidP="00502DE3">
      <w:pPr>
        <w:pStyle w:val="Paragrafoelenco"/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502DE3" w:rsidRDefault="00502DE3" w:rsidP="00502DE3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II° Fascia ore 10:15 – 11:30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221-21) – RGNR n. 712-21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1318-20) – RGNR n. 2133-19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2152-18) – RGNR n. 2141-15</w:t>
      </w:r>
    </w:p>
    <w:p w:rsidR="00502DE3" w:rsidRDefault="00502DE3" w:rsidP="00502DE3">
      <w:pPr>
        <w:spacing w:line="440" w:lineRule="exact"/>
        <w:ind w:left="360"/>
        <w:jc w:val="both"/>
        <w:rPr>
          <w:bCs/>
          <w:sz w:val="28"/>
          <w:szCs w:val="28"/>
        </w:rPr>
      </w:pPr>
    </w:p>
    <w:p w:rsidR="00502DE3" w:rsidRDefault="00502DE3" w:rsidP="00502DE3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III° Fascia ore 12:00  – 14:30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764-18) – RGNR n. 2925-16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2358/18) – RGNR n. 4094-16 </w:t>
      </w:r>
      <w:r>
        <w:rPr>
          <w:rFonts w:ascii="Times New Roman" w:hAnsi="Times New Roman" w:cs="Times New Roman"/>
          <w:sz w:val="28"/>
          <w:szCs w:val="28"/>
          <w:u w:val="single"/>
        </w:rPr>
        <w:t>ore 14:30</w:t>
      </w:r>
    </w:p>
    <w:p w:rsidR="00502DE3" w:rsidRDefault="00502DE3" w:rsidP="00502DE3">
      <w:pPr>
        <w:pStyle w:val="Paragrafoelenco"/>
        <w:rPr>
          <w:b/>
          <w:sz w:val="24"/>
          <w:szCs w:val="24"/>
        </w:rPr>
      </w:pPr>
    </w:p>
    <w:p w:rsidR="00502DE3" w:rsidRDefault="00502DE3" w:rsidP="00502DE3">
      <w:pPr>
        <w:pStyle w:val="Paragrafoelenco"/>
        <w:rPr>
          <w:b/>
          <w:sz w:val="24"/>
          <w:szCs w:val="24"/>
        </w:rPr>
      </w:pPr>
    </w:p>
    <w:p w:rsidR="00502DE3" w:rsidRDefault="00502DE3" w:rsidP="00502DE3">
      <w:pPr>
        <w:pStyle w:val="Paragrafoelenco"/>
        <w:rPr>
          <w:b/>
          <w:sz w:val="24"/>
          <w:szCs w:val="24"/>
        </w:rPr>
      </w:pPr>
    </w:p>
    <w:p w:rsidR="00502DE3" w:rsidRDefault="00502DE3" w:rsidP="00502DE3">
      <w:pPr>
        <w:pStyle w:val="Paragrafoelenco"/>
        <w:rPr>
          <w:b/>
          <w:sz w:val="24"/>
          <w:szCs w:val="24"/>
        </w:rPr>
      </w:pPr>
    </w:p>
    <w:p w:rsidR="00502DE3" w:rsidRDefault="00502DE3" w:rsidP="00502DE3">
      <w:pPr>
        <w:pStyle w:val="Paragrafoelenco"/>
        <w:rPr>
          <w:b/>
          <w:sz w:val="24"/>
          <w:szCs w:val="24"/>
        </w:rPr>
      </w:pPr>
    </w:p>
    <w:p w:rsidR="00502DE3" w:rsidRDefault="00502DE3" w:rsidP="00502DE3">
      <w:pPr>
        <w:pStyle w:val="Paragrafoelenco"/>
        <w:rPr>
          <w:b/>
          <w:sz w:val="24"/>
          <w:szCs w:val="24"/>
        </w:rPr>
      </w:pPr>
    </w:p>
    <w:p w:rsidR="00502DE3" w:rsidRDefault="00502DE3" w:rsidP="00502DE3">
      <w:pPr>
        <w:spacing w:line="52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Rinvii dei procedimenti che non saranno trattati in ottemperanza al decreto del Presidente del Tribunale di Nocera Inferiore n. 24/2021 e successive integrazioni</w:t>
      </w:r>
    </w:p>
    <w:p w:rsidR="00502DE3" w:rsidRDefault="00502DE3" w:rsidP="00502DE3">
      <w:pPr>
        <w:rPr>
          <w:sz w:val="28"/>
          <w:szCs w:val="28"/>
        </w:rPr>
      </w:pP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6-21) – RGNR n. 10720-15-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367-19) – RGNR n. 6463-17-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1833-19) – RGNR n. 5763-18-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179-21) – RGNR n. 3929-19 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1890-19) – RGNR n. 773-19–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1288-19) – RGNR n. 1002-19–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543-19) – RGNR n. 953-18–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1195-20) – RGNR n. 1017-20 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RGT n 1659-19) – RGNR n. 6254-18–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881-19) – RGNR n. 699-18–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1585-20) – RGNR n. 5063-19–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1531-20) – RGNR n. 1943-13–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2571-19) – RGNR n. 5051-18–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1098-17) – RGNR n. 6063-16–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2694-18) – RGNR n. 5030-17–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1317/18) – RGNR n. 2243-16 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1834-19) – RGNR n. 4253-18–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252-20) – RGNR n. 4778-16 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1578-17 – RGNR n. 5693 -15) 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1839-17) – RGNR n. 5603-14–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1595-20) – RGNR n. 1113-19–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398/21) – RGNR n. 3-15–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396-21) – RGNR n. 430-18–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247-20) – RGNR n. 1130-17–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 873-18) – RGNR n. 4075-17–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397-21) – RGNR n. 2483-20–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172-20) – RGNR n. 6011-17–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1602-20) – RGNR n. 5172-19– Rinvio al 28.10.2021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183-20) – RGNR n. (1899-17) – Rinvio al 17.06.2021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n.1533-20) – RGNR n. 4621-20 </w:t>
      </w:r>
      <w:r>
        <w:rPr>
          <w:rFonts w:ascii="Times New Roman" w:hAnsi="Times New Roman" w:cs="Times New Roman"/>
          <w:sz w:val="28"/>
          <w:szCs w:val="28"/>
        </w:rPr>
        <w:t>– Rinvio al 03.06.2021</w:t>
      </w:r>
    </w:p>
    <w:p w:rsid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1707-16) – RGRN n. 5513-13 – Rinvio al 13.05.2021</w:t>
      </w:r>
    </w:p>
    <w:p w:rsidR="008707DE" w:rsidRPr="00502DE3" w:rsidRDefault="00502DE3" w:rsidP="00502DE3">
      <w:pPr>
        <w:pStyle w:val="Paragrafoelenco"/>
        <w:numPr>
          <w:ilvl w:val="0"/>
          <w:numId w:val="1"/>
        </w:numPr>
        <w:spacing w:after="0" w:line="40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2539-18) – RGNR n. 1239-18 – Rinvio al 13.05.2021</w:t>
      </w:r>
    </w:p>
    <w:sectPr w:rsidR="008707DE" w:rsidRPr="00502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60FE1"/>
    <w:multiLevelType w:val="hybridMultilevel"/>
    <w:tmpl w:val="4BB84968"/>
    <w:lvl w:ilvl="0" w:tplc="A96E6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E3"/>
    <w:rsid w:val="00056364"/>
    <w:rsid w:val="000F6FB9"/>
    <w:rsid w:val="001D69D3"/>
    <w:rsid w:val="001E4C6E"/>
    <w:rsid w:val="002B2087"/>
    <w:rsid w:val="00502DE3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396F5-9EF4-4D57-B1E0-1286F665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2DE3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2021-04-02T15:47:00Z</dcterms:created>
  <dcterms:modified xsi:type="dcterms:W3CDTF">2021-04-02T15:49:00Z</dcterms:modified>
</cp:coreProperties>
</file>