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92" w:rsidRDefault="00695F92" w:rsidP="00695F9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695F92" w:rsidRDefault="00695F92" w:rsidP="00695F92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695F92" w:rsidRDefault="00695F92" w:rsidP="00695F92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udienza del 17.09.2021 (i numeri sono riferiti al RGNR)</w:t>
      </w:r>
    </w:p>
    <w:p w:rsidR="00695F92" w:rsidRPr="00124873" w:rsidRDefault="00695F92" w:rsidP="00695F92">
      <w:pPr>
        <w:jc w:val="center"/>
        <w:rPr>
          <w:rFonts w:ascii="Garamond" w:hAnsi="Garamond"/>
          <w:b/>
          <w:sz w:val="26"/>
          <w:szCs w:val="26"/>
        </w:rPr>
      </w:pPr>
      <w:r w:rsidRPr="00124873">
        <w:rPr>
          <w:rFonts w:ascii="Garamond" w:hAnsi="Garamond"/>
          <w:b/>
          <w:sz w:val="26"/>
          <w:szCs w:val="26"/>
        </w:rPr>
        <w:t>9,30</w:t>
      </w:r>
      <w:r>
        <w:rPr>
          <w:rFonts w:ascii="Garamond" w:hAnsi="Garamond"/>
          <w:b/>
          <w:sz w:val="26"/>
          <w:szCs w:val="26"/>
        </w:rPr>
        <w:t>/12,30</w:t>
      </w:r>
    </w:p>
    <w:p w:rsidR="00695F92" w:rsidRDefault="00695F92" w:rsidP="00695F92">
      <w:pPr>
        <w:rPr>
          <w:rFonts w:ascii="Garamond" w:hAnsi="Garamond"/>
          <w:sz w:val="26"/>
          <w:szCs w:val="26"/>
        </w:rPr>
      </w:pPr>
      <w:r w:rsidRPr="00477AEE">
        <w:rPr>
          <w:rFonts w:ascii="Garamond" w:hAnsi="Garamond"/>
          <w:sz w:val="26"/>
          <w:szCs w:val="26"/>
        </w:rPr>
        <w:t>Rinvio immediato dei seguenti processi: 1696/17, 9751/15, 6067/17</w:t>
      </w:r>
      <w:r>
        <w:rPr>
          <w:rFonts w:ascii="Garamond" w:hAnsi="Garamond"/>
          <w:sz w:val="26"/>
          <w:szCs w:val="26"/>
        </w:rPr>
        <w:t xml:space="preserve"> </w:t>
      </w:r>
      <w:r w:rsidRPr="00477AEE">
        <w:rPr>
          <w:rFonts w:ascii="Garamond" w:hAnsi="Garamond"/>
          <w:sz w:val="26"/>
          <w:szCs w:val="26"/>
        </w:rPr>
        <w:t>(per i quali permane difetto di notifica); 5065/19, 5876/19, 2609/17 (differimento ad altra data per esigenze di ruolo, ed in particolare attesa la complessità dei procedimenti, da trattare, si seguito indicati)</w:t>
      </w:r>
      <w:r>
        <w:rPr>
          <w:rFonts w:ascii="Garamond" w:hAnsi="Garamond"/>
          <w:sz w:val="26"/>
          <w:szCs w:val="26"/>
        </w:rPr>
        <w:t>.</w:t>
      </w:r>
    </w:p>
    <w:p w:rsidR="00695F92" w:rsidRDefault="00695F92" w:rsidP="00695F9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del processo 10747/14.</w:t>
      </w:r>
    </w:p>
    <w:p w:rsidR="00695F92" w:rsidRPr="007727A7" w:rsidRDefault="00695F92" w:rsidP="00695F92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12,30 a seguire</w:t>
      </w:r>
    </w:p>
    <w:p w:rsidR="00695F92" w:rsidRDefault="00695F92" w:rsidP="00695F9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Trattazione del processo 2135/18.</w:t>
      </w:r>
    </w:p>
    <w:p w:rsidR="00695F92" w:rsidRDefault="00695F92" w:rsidP="00695F9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695F92" w:rsidRDefault="00695F92" w:rsidP="00695F9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695F92" w:rsidRDefault="00695F92" w:rsidP="00695F9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695F92" w:rsidRDefault="00695F92" w:rsidP="00695F9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695F92" w:rsidRDefault="00695F92" w:rsidP="00695F9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695F92" w:rsidRDefault="00695F92" w:rsidP="00695F92"/>
    <w:p w:rsidR="00695F92" w:rsidRDefault="00695F92" w:rsidP="00695F92"/>
    <w:p w:rsidR="00695F92" w:rsidRDefault="00695F92" w:rsidP="00695F92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5F92"/>
    <w:rsid w:val="001214EB"/>
    <w:rsid w:val="002E476C"/>
    <w:rsid w:val="00695F92"/>
    <w:rsid w:val="0071699F"/>
    <w:rsid w:val="00C45029"/>
    <w:rsid w:val="00C645C6"/>
    <w:rsid w:val="00C76C19"/>
    <w:rsid w:val="00DD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F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2021-09-15T10:53:00Z</dcterms:created>
  <dcterms:modified xsi:type="dcterms:W3CDTF">2021-09-15T10:54:00Z</dcterms:modified>
</cp:coreProperties>
</file>