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26F8F1F2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DA1F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490B3F">
        <w:rPr>
          <w:rFonts w:asciiTheme="minorHAnsi" w:hAnsiTheme="minorHAnsi" w:cstheme="minorHAnsi"/>
          <w:b/>
          <w:bCs w:val="0"/>
          <w:szCs w:val="24"/>
        </w:rPr>
        <w:t>10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D66421">
        <w:rPr>
          <w:rFonts w:asciiTheme="minorHAnsi" w:hAnsiTheme="minorHAnsi" w:cstheme="minorHAnsi"/>
          <w:b/>
          <w:bCs w:val="0"/>
          <w:szCs w:val="24"/>
        </w:rPr>
        <w:t>10</w:t>
      </w:r>
      <w:r w:rsidR="00DA1F7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0E1137EF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490B3F">
        <w:rPr>
          <w:rFonts w:asciiTheme="minorHAnsi" w:hAnsiTheme="minorHAnsi" w:cstheme="minorHAnsi"/>
          <w:b/>
          <w:bCs w:val="0"/>
          <w:szCs w:val="24"/>
        </w:rPr>
        <w:t>7212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73DA4">
        <w:rPr>
          <w:rFonts w:asciiTheme="minorHAnsi" w:hAnsiTheme="minorHAnsi" w:cstheme="minorHAnsi"/>
          <w:b/>
          <w:bCs w:val="0"/>
          <w:szCs w:val="24"/>
        </w:rPr>
        <w:t>1</w:t>
      </w:r>
      <w:r w:rsidR="00490B3F">
        <w:rPr>
          <w:rFonts w:asciiTheme="minorHAnsi" w:hAnsiTheme="minorHAnsi" w:cstheme="minorHAnsi"/>
          <w:b/>
          <w:bCs w:val="0"/>
          <w:szCs w:val="24"/>
        </w:rPr>
        <w:t>8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490B3F">
        <w:rPr>
          <w:rFonts w:asciiTheme="minorHAnsi" w:hAnsiTheme="minorHAnsi" w:cstheme="minorHAnsi"/>
          <w:b/>
          <w:bCs w:val="0"/>
          <w:szCs w:val="24"/>
        </w:rPr>
        <w:t>6451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490B3F">
        <w:rPr>
          <w:rFonts w:asciiTheme="minorHAnsi" w:hAnsiTheme="minorHAnsi" w:cstheme="minorHAnsi"/>
          <w:b/>
          <w:bCs w:val="0"/>
          <w:szCs w:val="24"/>
        </w:rPr>
        <w:t>0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59502B70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58274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490B3F">
        <w:rPr>
          <w:rFonts w:asciiTheme="minorHAnsi" w:hAnsiTheme="minorHAnsi" w:cstheme="minorHAnsi"/>
          <w:b/>
          <w:bCs w:val="0"/>
          <w:szCs w:val="24"/>
        </w:rPr>
        <w:t>6929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20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490B3F">
        <w:rPr>
          <w:rFonts w:asciiTheme="minorHAnsi" w:hAnsiTheme="minorHAnsi" w:cstheme="minorHAnsi"/>
          <w:b/>
          <w:bCs w:val="0"/>
          <w:szCs w:val="24"/>
        </w:rPr>
        <w:t>11384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490B3F">
        <w:rPr>
          <w:rFonts w:asciiTheme="minorHAnsi" w:hAnsiTheme="minorHAnsi" w:cstheme="minorHAnsi"/>
          <w:b/>
          <w:bCs w:val="0"/>
          <w:szCs w:val="24"/>
        </w:rPr>
        <w:t>1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11E4D1A5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6655F4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490B3F">
        <w:rPr>
          <w:rFonts w:asciiTheme="minorHAnsi" w:hAnsiTheme="minorHAnsi" w:cstheme="minorHAnsi"/>
          <w:b/>
          <w:bCs w:val="0"/>
          <w:szCs w:val="24"/>
        </w:rPr>
        <w:t>1012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D66421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</w:t>
      </w:r>
      <w:r w:rsidR="00D66421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490B3F">
        <w:rPr>
          <w:rFonts w:asciiTheme="minorHAnsi" w:hAnsiTheme="minorHAnsi" w:cstheme="minorHAnsi"/>
          <w:b/>
          <w:bCs w:val="0"/>
          <w:szCs w:val="24"/>
        </w:rPr>
        <w:t>5253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037887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41CEBBF6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30249C">
        <w:rPr>
          <w:rFonts w:asciiTheme="minorHAnsi" w:hAnsiTheme="minorHAnsi" w:cstheme="minorHAnsi"/>
          <w:bCs w:val="0"/>
          <w:szCs w:val="24"/>
        </w:rPr>
        <w:t>06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30249C">
        <w:rPr>
          <w:rFonts w:asciiTheme="minorHAnsi" w:hAnsiTheme="minorHAnsi" w:cstheme="minorHAnsi"/>
          <w:bCs w:val="0"/>
          <w:szCs w:val="24"/>
        </w:rPr>
        <w:t>10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3F6BB1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0124"/>
    <w:rsid w:val="00490B3F"/>
    <w:rsid w:val="004914B0"/>
    <w:rsid w:val="00494135"/>
    <w:rsid w:val="004A7F0B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221F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1A72"/>
    <w:rsid w:val="008E44DA"/>
    <w:rsid w:val="008E62EB"/>
    <w:rsid w:val="008E7394"/>
    <w:rsid w:val="008F474E"/>
    <w:rsid w:val="009002F4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0C1"/>
    <w:rsid w:val="00A5216B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2022-10-05T17:36:00Z</dcterms:created>
  <dcterms:modified xsi:type="dcterms:W3CDTF">2022-10-06T16:22:00Z</dcterms:modified>
</cp:coreProperties>
</file>