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b/>
        </w:rPr>
        <w:t xml:space="preserve">UFFICIO DEL GIUDICE DI PACE DI NOCERA INFERIORE</w:t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Sezione Civile</w:t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Il Giudice di Pace  avv.Consuelo Ascolese, visto il provvedimento prot.81/2020 del Presidente del Tribunale di Nocera Inferiore, comunica il seguente ordine cronologico per</w:t>
      </w:r>
      <w:r>
        <w:rPr>
          <w:rFonts w:ascii="Times New Roman" w:hAnsi="Times New Roman" w:cs="Times New Roman"/>
          <w:sz w:val="28"/>
          <w:sz-cs w:val="28"/>
          <w:b/>
        </w:rPr>
        <w:t xml:space="preserve"> l’udienza civile del  03.09.2020  :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b/>
        </w:rPr>
        <w:t xml:space="preserve">I scaglione - ore 09.30/10.00: RG n.12075/16; RG n.12954/16; RG n.3218/17; RG n.1760/18; RG n. 8117/18; RG n.8173/18; RG n.8331/18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b/>
        </w:rPr>
        <w:t xml:space="preserve">II scaglione – ore 10.00/10.30: RG n.8374/18; RG n.8568/18; RG n.116/19; RG n.317/19; RG n.1097/19 ; RG n.1193/19; RG n.1221/19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b/>
        </w:rPr>
        <w:t xml:space="preserve">III scaglione – ore 10.30/11.00: RG n.1241/19; RG n.1246/19; RG n.1275/19; RG n. 1630/19; RG n.1674/19; RG n.4377/19; RG n.5113/19 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b/>
        </w:rPr>
        <w:t xml:space="preserve">IV scaglione – ore 11.00/11.30: RG n.5276/19; RG n.5819/19; RG n.5820/19; RG n.6504/19; RG n.6757/19; RG n.6769/19; RG n.7284/19; RG n.710/20;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b/>
        </w:rPr>
        <w:t xml:space="preserve">RG n.1327/20; RG n.1729/20 </w:t>
      </w:r>
    </w:p>
    <w:p>
      <w:pPr>
        <w:ind w:left="720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I procedimenti saranno trattati in ordine cronologico a distanza di 5/10 minuti l’uno dall’altro a seconda della complessità della trattazione.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Manda alla Cancelleria  affinchè il presente avviso venga affisso dinanzi l’aula di udienza ed inviato al Consiglio dell’Ordine degli Avvocati per la pubblicazione sul sito.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Nocera Inferiore, li 01.09.2020  </w:t>
      </w:r>
    </w:p>
    <w:p>
      <w:pPr>
        <w:ind w:left="4956"/>
      </w:pPr>
      <w:r>
        <w:rPr>
          <w:rFonts w:ascii="Times New Roman" w:hAnsi="Times New Roman" w:cs="Times New Roman"/>
          <w:sz w:val="28"/>
          <w:sz-cs w:val="28"/>
        </w:rPr>
        <w:t xml:space="preserve"> Il Giudice di Pace</w:t>
      </w:r>
    </w:p>
    <w:p>
      <w:pPr>
        <w:ind w:left="4956"/>
      </w:pPr>
      <w:r>
        <w:rPr>
          <w:rFonts w:ascii="Times New Roman" w:hAnsi="Times New Roman" w:cs="Times New Roman"/>
          <w:sz w:val="28"/>
          <w:sz-cs w:val="28"/>
        </w:rPr>
        <w:t xml:space="preserve">(avv.Consuelo Ascolese)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sectPr>
      <w:pgSz w:w="11905" w:h="16837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Best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</cp:coreProperties>
</file>

<file path=docProps/meta.xml><?xml version="1.0" encoding="utf-8"?>
<meta xmlns="http://schemas.apple.com/cocoa/2006/metadata">
  <generator>CocoaOOXMLWriter/1894.2</generator>
</meta>
</file>